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 w:line="240" w:lineRule="auto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709" w:right="849" w:firstLine="0"/>
        <w:jc w:val="center"/>
        <w:spacing w:after="0" w:afterAutospacing="0" w:line="240" w:lineRule="auto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709" w:right="849" w:firstLine="0"/>
        <w:jc w:val="center"/>
        <w:spacing w:after="0" w:afterAutospacing="0" w:line="240" w:lineRule="auto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709" w:right="849" w:firstLine="0"/>
        <w:jc w:val="center"/>
        <w:spacing w:after="0" w:afterAutospacing="0" w:line="240" w:lineRule="auto"/>
        <w:shd w:val="clear" w:color="ffffff" w:fill="ffff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58"/>
        <w:ind w:left="709" w:right="849" w:firstLine="0"/>
        <w:jc w:val="center"/>
        <w:spacing w:before="0"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 w:val="0"/>
          <w:sz w:val="28"/>
          <w:szCs w:val="28"/>
        </w:rPr>
        <w:t xml:space="preserve">О внесении изменений в закон </w:t>
      </w:r>
      <w:r>
        <w:rPr>
          <w:rFonts w:ascii="PT Astra Serif" w:hAnsi="PT Astra Serif" w:cs="PT Astra Serif"/>
          <w:bCs w:val="0"/>
          <w:sz w:val="28"/>
          <w:szCs w:val="28"/>
        </w:rPr>
        <w:t xml:space="preserve">Алтайского края</w:t>
        <w:br/>
      </w:r>
      <w:r>
        <w:rPr>
          <w:rFonts w:ascii="PT Astra Serif" w:hAnsi="PT Astra Serif" w:cs="PT Astra Serif"/>
          <w:bCs w:val="0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 регулировании отдельных </w:t>
      </w:r>
      <w:r>
        <w:rPr>
          <w:rFonts w:ascii="PT Astra Serif" w:hAnsi="PT Astra Serif" w:cs="PT Astra Serif"/>
          <w:sz w:val="28"/>
          <w:szCs w:val="28"/>
        </w:rPr>
        <w:t xml:space="preserve">отношений в </w:t>
      </w:r>
      <w:r>
        <w:rPr>
          <w:rFonts w:ascii="PT Astra Serif" w:hAnsi="PT Astra Serif" w:cs="PT Astra Serif"/>
          <w:sz w:val="28"/>
          <w:szCs w:val="28"/>
        </w:rPr>
        <w:t xml:space="preserve">сфере розничной продажи </w:t>
      </w:r>
      <w:r>
        <w:rPr>
          <w:rFonts w:ascii="PT Astra Serif" w:hAnsi="PT Astra Serif" w:cs="PT Astra Serif"/>
          <w:sz w:val="28"/>
          <w:szCs w:val="28"/>
        </w:rPr>
        <w:t xml:space="preserve">алкогольной </w:t>
      </w:r>
      <w:r>
        <w:rPr>
          <w:rFonts w:ascii="PT Astra Serif" w:hAnsi="PT Astra Serif" w:cs="PT Astra Serif"/>
          <w:sz w:val="28"/>
          <w:szCs w:val="28"/>
        </w:rPr>
        <w:t xml:space="preserve">и спиртосодержащей продукции </w:t>
      </w:r>
      <w:r>
        <w:rPr>
          <w:rFonts w:ascii="PT Astra Serif" w:hAnsi="PT Astra Serif" w:cs="PT Astra Serif"/>
          <w:sz w:val="28"/>
          <w:szCs w:val="28"/>
        </w:rPr>
        <w:t xml:space="preserve">на территории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bCs w:val="0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2268" w:leader="none"/>
        </w:tabs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2268" w:leader="none"/>
        </w:tabs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2268" w:leader="none"/>
        </w:tabs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Статья 1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закон Алтайского края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от 6 февраля 2012 года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№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5-ЗС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br/>
        <w:t xml:space="preserve">«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О регулировании отдельных отношений в сфере розничной продажи алкогольной и спиртосодержащей продукции на территории Алтайского края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»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(Сборник законодательства Алтайского края, 2012,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№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190, часть I; 2013,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br/>
        <w:t xml:space="preserve">№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210, часть I; 2014,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№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222, часть I; 2015,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№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235; 2016,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№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238; Официальный интернет-портал правовой информации (www.pravo.gov.ru), 5 июля 2017 года,</w:t>
        <w:br/>
        <w:t xml:space="preserve">1 февраля 2018 года, 6 февраля 2019 года, 22 декабря 2020 года, 1 апреля</w:t>
        <w:br/>
        <w:t xml:space="preserve">2021 года, 8 сентября 2021 года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, 3 февраля 2022 года, 2 июня 2023 года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) следующие изменения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: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709" w:right="0" w:firstLine="0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1) пункт 3 статьи 2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</w:pPr>
      <w:r>
        <w:rPr>
          <w:rFonts w:ascii="PT Astra Serif" w:hAnsi="PT Astra Serif" w:eastAsia="Times New Roman" w:cs="PT Astra Serif"/>
          <w:sz w:val="28"/>
          <w:szCs w:val="28"/>
          <w:lang w:eastAsia="ru-RU"/>
        </w:rPr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«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3) устанавливает 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в случае вве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дения на территории Алтайского края режима повышенной готовности, чрезвычайной ситуаци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и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 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дополнительные ограничения времени, условий и мест розничной продажи алкогольной продукции, з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а исключением розничной продажи алкогольной продукции при оказании услуг общественного питания, если иное не установлено статьей 16 Федерального закон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а,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статьей 16 Федерального закона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;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»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</w:r>
      <w:r/>
    </w:p>
    <w:p>
      <w:pPr>
        <w:ind w:firstLine="708"/>
        <w:jc w:val="both"/>
        <w:spacing w:after="0" w:afterAutospacing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2) часть 1.1 статьи 5 после слова «учет» дополнить словами «и декларирование»;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</w:r>
      <w:r>
        <w:rPr>
          <w:rFonts w:ascii="PT Astra Serif" w:hAnsi="PT Astra Serif" w:eastAsia="PT Astra Serif" w:cs="PT Astra Serif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  <w:szCs w:val="28"/>
          <w:highlight w:val="none"/>
          <w:lang w:eastAsia="ru-RU"/>
        </w:rPr>
        <w:t xml:space="preserve">3) статью 8 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дополнить частями 1.2 и 1.3 следующего содержания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:</w:t>
      </w:r>
      <w:r>
        <w:rPr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«1.2. На территории Алтайского края не допускается розничная продажа алкогольной продукц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ии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 (за исключением розничной продажи алкогольной продукции при оказании услуг общественного питания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)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 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в следующие дни: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 </w:t>
      </w:r>
      <w:r>
        <w:rPr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1) 9 мая - День Победы (День Победы советского народа в Великой Отечественной войне 1941 - 1945 годов (1945 год); </w:t>
      </w:r>
      <w:r>
        <w:rPr>
          <w:highlight w:val="none"/>
        </w:rPr>
      </w:r>
      <w:r/>
    </w:p>
    <w:p>
      <w:pPr>
        <w:contextualSpacing w:val="0"/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2) «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День города», «День района (округа)», «День села (поселка)», 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установленные муниципальными правовыми актами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. Запрет распространяется на всю терр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иторию городского округа, а в муниципальных районах и округах - на территорию населенного пункта соответствующего муниципального образования, в границах 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которого проводятся мероприятия, приуроченные к указанным </w:t>
      </w:r>
      <w:r>
        <w:rPr>
          <w:rFonts w:ascii="PT Astra Serif" w:hAnsi="PT Astra Serif" w:eastAsia="Times New Roman" w:cs="PT Astra Serif"/>
          <w:sz w:val="28"/>
          <w:szCs w:val="28"/>
          <w:highlight w:val="none"/>
          <w:lang w:eastAsia="ru-RU"/>
        </w:rPr>
        <w:t xml:space="preserve">дням.</w:t>
      </w:r>
      <w:r>
        <w:rPr>
          <w:highlight w:val="none"/>
        </w:rPr>
      </w:r>
      <w:r/>
    </w:p>
    <w:p>
      <w:pPr>
        <w:contextualSpacing w:val="0"/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1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.3. Информация о дате, времени, месте проведения мероприятий, указанных в части 1.2 настоящей статьи, размещается на официальных сайтах органов ме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стного самоуправления, осуществляющих проведение праздничных мероприятий, в информационно-телекоммуникационной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сети «Интернет» или </w:t>
        <w:br/>
        <w:t xml:space="preserve">в официальном печатном издании не менее чем за 10 дней до даты их проведения.».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Статья 2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1. Настоящий Закон вступает в силу через 10 дней после дня его официального опубликования.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2. Пункт 2 статьи 1 настоящего Закона распространяет свое действие на правоотношения, возникшие с 15 января 2024 года.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Style w:val="714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>
        <w:trPr>
          <w:trHeight w:val="32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ind w:left="0" w:right="0" w:hanging="142"/>
              <w:jc w:val="left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Губернатор Алтайского края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ind w:left="0" w:right="-74" w:firstLine="0"/>
              <w:jc w:val="right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 Томенко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right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98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859"/>
    <w:link w:val="858"/>
    <w:uiPriority w:val="9"/>
    <w:rPr>
      <w:rFonts w:ascii="Arial" w:hAnsi="Arial" w:eastAsia="Arial" w:cs="Arial"/>
      <w:sz w:val="40"/>
      <w:szCs w:val="40"/>
    </w:rPr>
  </w:style>
  <w:style w:type="paragraph" w:styleId="683">
    <w:name w:val="Heading 2"/>
    <w:basedOn w:val="857"/>
    <w:next w:val="857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4">
    <w:name w:val="Heading 2 Char"/>
    <w:basedOn w:val="859"/>
    <w:link w:val="683"/>
    <w:uiPriority w:val="9"/>
    <w:rPr>
      <w:rFonts w:ascii="Arial" w:hAnsi="Arial" w:eastAsia="Arial" w:cs="Arial"/>
      <w:sz w:val="34"/>
    </w:rPr>
  </w:style>
  <w:style w:type="paragraph" w:styleId="685">
    <w:name w:val="Heading 3"/>
    <w:basedOn w:val="857"/>
    <w:next w:val="857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6">
    <w:name w:val="Heading 3 Char"/>
    <w:basedOn w:val="859"/>
    <w:link w:val="685"/>
    <w:uiPriority w:val="9"/>
    <w:rPr>
      <w:rFonts w:ascii="Arial" w:hAnsi="Arial" w:eastAsia="Arial" w:cs="Arial"/>
      <w:sz w:val="30"/>
      <w:szCs w:val="30"/>
    </w:rPr>
  </w:style>
  <w:style w:type="paragraph" w:styleId="687">
    <w:name w:val="Heading 4"/>
    <w:basedOn w:val="857"/>
    <w:next w:val="857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8">
    <w:name w:val="Heading 4 Char"/>
    <w:basedOn w:val="859"/>
    <w:link w:val="687"/>
    <w:uiPriority w:val="9"/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0">
    <w:name w:val="Heading 5 Char"/>
    <w:basedOn w:val="859"/>
    <w:link w:val="689"/>
    <w:uiPriority w:val="9"/>
    <w:rPr>
      <w:rFonts w:ascii="Arial" w:hAnsi="Arial" w:eastAsia="Arial" w:cs="Arial"/>
      <w:b/>
      <w:bCs/>
      <w:sz w:val="24"/>
      <w:szCs w:val="24"/>
    </w:rPr>
  </w:style>
  <w:style w:type="paragraph" w:styleId="691">
    <w:name w:val="Heading 6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2">
    <w:name w:val="Heading 6 Char"/>
    <w:basedOn w:val="859"/>
    <w:link w:val="691"/>
    <w:uiPriority w:val="9"/>
    <w:rPr>
      <w:rFonts w:ascii="Arial" w:hAnsi="Arial" w:eastAsia="Arial" w:cs="Arial"/>
      <w:b/>
      <w:bCs/>
      <w:sz w:val="22"/>
      <w:szCs w:val="22"/>
    </w:rPr>
  </w:style>
  <w:style w:type="paragraph" w:styleId="693">
    <w:name w:val="Heading 7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4">
    <w:name w:val="Heading 7 Char"/>
    <w:basedOn w:val="859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5">
    <w:name w:val="Heading 8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6">
    <w:name w:val="Heading 8 Char"/>
    <w:basedOn w:val="859"/>
    <w:link w:val="695"/>
    <w:uiPriority w:val="9"/>
    <w:rPr>
      <w:rFonts w:ascii="Arial" w:hAnsi="Arial" w:eastAsia="Arial" w:cs="Arial"/>
      <w:i/>
      <w:iCs/>
      <w:sz w:val="22"/>
      <w:szCs w:val="22"/>
    </w:rPr>
  </w:style>
  <w:style w:type="paragraph" w:styleId="697">
    <w:name w:val="Heading 9"/>
    <w:basedOn w:val="857"/>
    <w:next w:val="857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8">
    <w:name w:val="Heading 9 Char"/>
    <w:basedOn w:val="859"/>
    <w:link w:val="697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7"/>
    <w:next w:val="857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7"/>
    <w:next w:val="857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7"/>
    <w:next w:val="857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7"/>
    <w:next w:val="857"/>
    <w:link w:val="707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7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7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fc8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5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4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bfbfbf" w:fill="bfbfbf" w:themeFill="text1" w:themeFillTint="40"/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d9e2f2" w:fill="d9e2f2" w:themeFill="accent1" w:themeFillTint="34"/>
    </w:tblPr>
    <w:tblStylePr w:type="band1Horz">
      <w:tcPr>
        <w:shd w:val="clear" w:color="aabfe3" w:fill="aabfe3" w:themeFill="accent1" w:themeFillTint="75"/>
      </w:tcPr>
    </w:tblStylePr>
    <w:tblStylePr w:type="band1Vert">
      <w:tcPr>
        <w:shd w:val="clear" w:color="aabfe3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be5d6" w:fill="fbe5d6" w:themeFill="accent2" w:themeFillTint="32"/>
    </w:tblPr>
    <w:tblStylePr w:type="band1Horz">
      <w:tcPr>
        <w:shd w:val="clear" w:color="f6c3a1" w:fill="f6c3a1" w:themeFill="accent2" w:themeFillTint="75"/>
      </w:tcPr>
    </w:tblStylePr>
    <w:tblStylePr w:type="band1Vert">
      <w:tcPr>
        <w:shd w:val="clear" w:color="f6c3a1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ededed" w:fill="ededed" w:themeFill="accent3" w:themeFillTint="34"/>
    </w:tblPr>
    <w:tblStylePr w:type="band1Horz">
      <w:tcPr>
        <w:shd w:val="clear" w:color="d6d6d6" w:fill="d6d6d6" w:themeFill="accent3" w:themeFillTint="75"/>
      </w:tcPr>
    </w:tblStylePr>
    <w:tblStylePr w:type="band1Vert">
      <w:tcPr>
        <w:shd w:val="clear" w:color="d6d6d6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ef2cb" w:fill="fef2cb" w:themeFill="accent4" w:themeFillTint="34"/>
    </w:tblPr>
    <w:tblStylePr w:type="band1Horz">
      <w:tcPr>
        <w:shd w:val="clear" w:color="fee189" w:fill="fee189" w:themeFill="accent4" w:themeFillTint="75"/>
      </w:tcPr>
    </w:tblStylePr>
    <w:tblStylePr w:type="band1Vert">
      <w:tcPr>
        <w:shd w:val="clear" w:color="fee189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ddebf6" w:fill="ddebf6" w:themeFill="accent5" w:themeFillTint="34"/>
    </w:tblPr>
    <w:tblStylePr w:type="band1Horz">
      <w:tcPr>
        <w:shd w:val="clear" w:color="b4d2eb" w:fill="b4d2eb" w:themeFill="accent5" w:themeFillTint="75"/>
      </w:tcPr>
    </w:tblStylePr>
    <w:tblStylePr w:type="band1Vert">
      <w:tcPr>
        <w:shd w:val="clear" w:color="b4d2eb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e2efd8" w:fill="e2efd8" w:themeFill="accent6" w:themeFillTint="34"/>
    </w:tblPr>
    <w:tblStylePr w:type="band1Horz">
      <w:tcPr>
        <w:shd w:val="clear" w:color="bedba8" w:fill="bedba8" w:themeFill="accent6" w:themeFillTint="75"/>
      </w:tcPr>
    </w:tblStylePr>
    <w:tblStylePr w:type="band1Vert">
      <w:tcPr>
        <w:shd w:val="clear" w:color="bedba8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d9e2f2" w:fill="d9e2f2" w:themeFill="accent1" w:themeFillTint="34"/>
      </w:tcPr>
    </w:tblStylePr>
    <w:tblStylePr w:type="band1Vert">
      <w:tcPr>
        <w:shd w:val="clear" w:color="d9e2f2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ededed" w:fill="ededed" w:themeFill="accent3" w:themeFillTint="34"/>
      </w:tcPr>
    </w:tblStylePr>
    <w:tblStylePr w:type="band1Vert">
      <w:tcPr>
        <w:shd w:val="clear" w:color="ededed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ef2cb" w:fill="fef2cb" w:themeFill="accent4" w:themeFillTint="34"/>
      </w:tcPr>
    </w:tblStylePr>
    <w:tblStylePr w:type="band1Vert">
      <w:tcPr>
        <w:shd w:val="clear" w:color="fef2cb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ddebf6" w:fill="ddebf6" w:themeFill="accent5" w:themeFillTint="34"/>
      </w:tcPr>
    </w:tblStylePr>
    <w:tblStylePr w:type="band1Vert">
      <w:tcPr>
        <w:shd w:val="clear" w:color="ddebf6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e2efd8" w:fill="e2efd8" w:themeFill="accent6" w:themeFillTint="34"/>
      </w:tcPr>
    </w:tblStylePr>
    <w:tblStylePr w:type="band1Vert">
      <w:tcPr>
        <w:shd w:val="clear" w:color="e2efd8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d9e2f2" w:fill="d9e2f2" w:themeFill="accent1" w:themeFillTint="34"/>
      </w:tcPr>
    </w:tblStylePr>
    <w:tblStylePr w:type="band1Vert">
      <w:tcPr>
        <w:shd w:val="clear" w:color="d9e2f2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ededed" w:fill="ededed" w:themeFill="accent3" w:themeFillTint="34"/>
      </w:tcPr>
    </w:tblStylePr>
    <w:tblStylePr w:type="band1Vert">
      <w:tcPr>
        <w:shd w:val="clear" w:color="ededed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ef2cb" w:fill="fef2cb" w:themeFill="accent4" w:themeFillTint="34"/>
      </w:tcPr>
    </w:tblStylePr>
    <w:tblStylePr w:type="band1Vert">
      <w:tcPr>
        <w:shd w:val="clear" w:color="fef2cb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ddebf6" w:fill="ddebf6" w:themeFill="accent5" w:themeFillTint="34"/>
      </w:tcPr>
    </w:tblStylePr>
    <w:tblStylePr w:type="band1Vert">
      <w:tcPr>
        <w:shd w:val="clear" w:color="ddebf6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e2efd8" w:fill="e2efd8" w:themeFill="accent6" w:themeFillTint="34"/>
      </w:tcPr>
    </w:tblStylePr>
    <w:tblStylePr w:type="band1Vert">
      <w:tcPr>
        <w:shd w:val="clear" w:color="e2efd8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cfdcf0" w:fill="cfdcf0" w:themeFill="accent1" w:themeFillTint="40"/>
      </w:tcPr>
    </w:tblStylePr>
    <w:tblStylePr w:type="band1Vert">
      <w:tcPr>
        <w:shd w:val="clear" w:color="cfdcf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d5e6f4" w:fill="d5e6f4" w:themeFill="accent5" w:themeFillTint="40"/>
      </w:tcPr>
    </w:tblStylePr>
    <w:tblStylePr w:type="band1Vert">
      <w:tcPr>
        <w:shd w:val="clear" w:color="d5e6f4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dbebd0" w:fill="dbebd0" w:themeFill="accent6" w:themeFillTint="40"/>
      </w:tcPr>
    </w:tblStylePr>
    <w:tblStylePr w:type="band1Vert">
      <w:tcPr>
        <w:shd w:val="clear" w:color="dbebd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5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4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cc4e5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ad08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7f7f7f" w:fill="7f7f7f" w:themeFill="text1" w:themeFillTint="80"/>
    </w:tblPr>
    <w:tblStylePr w:type="band1Horz">
      <w:tcPr>
        <w:shd w:val="clear" w:color="7f7f7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4472c4" w:fill="4472c4" w:themeFill="accent1"/>
    </w:tblPr>
    <w:tblStylePr w:type="band1Horz">
      <w:tcPr>
        <w:shd w:val="clear" w:color="4472c4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4472c4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4472c4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4b185" w:fill="f4b185" w:themeFill="accent2" w:themeFillTint="97"/>
    </w:tblPr>
    <w:tblStylePr w:type="band1Horz">
      <w:tcPr>
        <w:shd w:val="clear" w:color="f4b185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4b185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4b185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5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c9c9c9" w:fill="c9c9c9" w:themeFill="accent3" w:themeFillTint="98"/>
    </w:tblPr>
    <w:tblStylePr w:type="band1Horz">
      <w:tcPr>
        <w:shd w:val="clear" w:color="c9c9c9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c9c9c9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c9c9c9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d864" w:fill="ffd864" w:themeFill="accent4" w:themeFillTint="9A"/>
    </w:tblPr>
    <w:tblStylePr w:type="band1Horz">
      <w:tcPr>
        <w:shd w:val="clear" w:color="ffd864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d864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d864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4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9cc4e5" w:fill="9cc4e5" w:themeFill="accent5" w:themeFillTint="9A"/>
    </w:tblPr>
    <w:tblStylePr w:type="band1Horz">
      <w:tcPr>
        <w:shd w:val="clear" w:color="9cc4e5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9cc4e5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9cc4e5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cc4e5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ad08f" w:fill="aad08f" w:themeFill="accent6" w:themeFillTint="98"/>
    </w:tblPr>
    <w:tblStylePr w:type="band1Horz">
      <w:tcPr>
        <w:shd w:val="clear" w:color="aad08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ad08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ad08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ad08f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cfdcf0" w:fill="cfdcf0" w:themeFill="accent1" w:themeFillTint="40"/>
      </w:tcPr>
    </w:tblStylePr>
    <w:tblStylePr w:type="band1Vert">
      <w:tcPr>
        <w:shd w:val="clear" w:color="cfdcf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d5e6f4" w:fill="d5e6f4" w:themeFill="accent5" w:themeFillTint="40"/>
      </w:tcPr>
    </w:tblStylePr>
    <w:tblStylePr w:type="band1Vert">
      <w:tcPr>
        <w:shd w:val="clear" w:color="d5e6f4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dbebd0" w:fill="dbebd0" w:themeFill="accent6" w:themeFillTint="40"/>
      </w:tcPr>
    </w:tblStylePr>
    <w:tblStylePr w:type="band1Vert">
      <w:tcPr>
        <w:shd w:val="clear" w:color="dbebd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cfdcf0" w:fill="cfdcf0" w:themeFill="accent1" w:themeFillTint="40"/>
      </w:tcPr>
    </w:tblStylePr>
    <w:tblStylePr w:type="band1Vert">
      <w:tcPr>
        <w:shd w:val="clear" w:color="cfdcf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d5e6f4" w:fill="d5e6f4" w:themeFill="accent5" w:themeFillTint="40"/>
      </w:tcPr>
    </w:tblStylePr>
    <w:tblStylePr w:type="band1Vert">
      <w:tcPr>
        <w:shd w:val="clear" w:color="d5e6f4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dbebd0" w:fill="dbebd0" w:themeFill="accent6" w:themeFillTint="40"/>
      </w:tcPr>
    </w:tblStylePr>
    <w:tblStylePr w:type="band1Vert">
      <w:tcPr>
        <w:shd w:val="clear" w:color="dbebd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20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</w:style>
  <w:style w:type="table" w:styleId="821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</w:style>
  <w:style w:type="table" w:styleId="822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23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</w:style>
  <w:style w:type="table" w:styleId="824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</w:style>
  <w:style w:type="table" w:styleId="825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826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27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</w:style>
  <w:style w:type="table" w:styleId="828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</w:style>
  <w:style w:type="table" w:styleId="829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30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</w:style>
  <w:style w:type="table" w:styleId="831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</w:style>
  <w:style w:type="table" w:styleId="832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833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9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9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paragraph" w:styleId="858">
    <w:name w:val="Heading 1"/>
    <w:basedOn w:val="857"/>
    <w:next w:val="857"/>
    <w:link w:val="863"/>
    <w:uiPriority w:val="99"/>
    <w:qFormat/>
    <w:pPr>
      <w:keepNext/>
      <w:spacing w:before="240" w:after="60" w:line="240" w:lineRule="auto"/>
      <w:widowControl w:val="off"/>
      <w:outlineLvl w:val="0"/>
    </w:pPr>
    <w:rPr>
      <w:rFonts w:ascii="Cambria" w:hAnsi="Cambria" w:eastAsia="Times New Roman" w:cs="Cambria"/>
      <w:b/>
      <w:bCs/>
      <w:sz w:val="32"/>
      <w:szCs w:val="32"/>
      <w:lang w:eastAsia="ru-RU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List Paragraph"/>
    <w:basedOn w:val="857"/>
    <w:uiPriority w:val="99"/>
    <w:qFormat/>
    <w:pPr>
      <w:contextualSpacing/>
      <w:ind w:left="720"/>
    </w:pPr>
  </w:style>
  <w:style w:type="character" w:styleId="863" w:customStyle="1">
    <w:name w:val="Заголовок 1 Знак"/>
    <w:basedOn w:val="859"/>
    <w:link w:val="858"/>
    <w:uiPriority w:val="99"/>
    <w:rPr>
      <w:rFonts w:ascii="Cambria" w:hAnsi="Cambria" w:eastAsia="Times New Roman" w:cs="Cambria"/>
      <w:b/>
      <w:bCs/>
      <w:sz w:val="32"/>
      <w:szCs w:val="32"/>
      <w:lang w:eastAsia="ru-RU"/>
    </w:rPr>
  </w:style>
  <w:style w:type="character" w:styleId="864">
    <w:name w:val="Hyperlink"/>
    <w:basedOn w:val="859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Прокуратура РФ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revision>17</cp:revision>
  <dcterms:created xsi:type="dcterms:W3CDTF">2023-12-18T04:28:00Z</dcterms:created>
  <dcterms:modified xsi:type="dcterms:W3CDTF">2024-02-16T03:39:45Z</dcterms:modified>
</cp:coreProperties>
</file>